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696220" w:rsidRPr="00897357">
        <w:rPr>
          <w:b/>
          <w:i/>
        </w:rPr>
        <w:t>«</w:t>
      </w:r>
      <w:r w:rsidR="000E5B1D" w:rsidRPr="00897357">
        <w:rPr>
          <w:b/>
        </w:rPr>
        <w:t>Выполнение</w:t>
      </w:r>
      <w:r w:rsidR="00951710" w:rsidRPr="00897357">
        <w:rPr>
          <w:b/>
        </w:rPr>
        <w:t xml:space="preserve"> </w:t>
      </w:r>
      <w:r w:rsidR="000E5B1D" w:rsidRPr="00897357">
        <w:rPr>
          <w:b/>
        </w:rPr>
        <w:t xml:space="preserve">работ по </w:t>
      </w:r>
      <w:r w:rsidR="00897357" w:rsidRPr="00897357">
        <w:rPr>
          <w:b/>
        </w:rPr>
        <w:t>устройству раскатных свай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</w:r>
      <w:r w:rsidR="00897357" w:rsidRPr="00897357">
        <w:rPr>
          <w:b/>
          <w:bCs/>
        </w:rPr>
        <w:t xml:space="preserve"> (поз. 16.1)»</w:t>
      </w:r>
      <w:r w:rsidR="000E5B1D" w:rsidRPr="00897357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X="-10" w:tblpY="1"/>
        <w:tblOverlap w:val="never"/>
        <w:tblW w:w="15203" w:type="dxa"/>
        <w:tblLook w:val="04A0" w:firstRow="1" w:lastRow="0" w:firstColumn="1" w:lastColumn="0" w:noHBand="0" w:noVBand="1"/>
      </w:tblPr>
      <w:tblGrid>
        <w:gridCol w:w="756"/>
        <w:gridCol w:w="9445"/>
        <w:gridCol w:w="1600"/>
        <w:gridCol w:w="1843"/>
        <w:gridCol w:w="1559"/>
      </w:tblGrid>
      <w:tr w:rsidR="004B3214" w:rsidRPr="00161783" w:rsidTr="004B3214">
        <w:trPr>
          <w:trHeight w:val="91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214" w:rsidRPr="00161783" w:rsidRDefault="004B3214" w:rsidP="004B3214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 xml:space="preserve">№ </w:t>
            </w:r>
            <w:r w:rsidRPr="00161783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9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3214" w:rsidRPr="00161783" w:rsidRDefault="004B3214" w:rsidP="004B3214">
            <w:pPr>
              <w:jc w:val="center"/>
              <w:rPr>
                <w:b/>
                <w:bCs/>
                <w:sz w:val="20"/>
                <w:szCs w:val="20"/>
              </w:rPr>
            </w:pPr>
            <w:r w:rsidRPr="00161783">
              <w:rPr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214" w:rsidRPr="00161783" w:rsidRDefault="004B3214" w:rsidP="004B3214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214" w:rsidRPr="00161783" w:rsidRDefault="004B3214" w:rsidP="004B3214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НДС (при наличии),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14" w:rsidRPr="00161783" w:rsidRDefault="004B3214" w:rsidP="004B3214">
            <w:pPr>
              <w:rPr>
                <w:b/>
                <w:sz w:val="20"/>
                <w:szCs w:val="20"/>
              </w:rPr>
            </w:pPr>
            <w:r w:rsidRPr="00161783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4B3214" w:rsidRPr="009D63A7" w:rsidTr="004B3214">
        <w:trPr>
          <w:trHeight w:val="96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14" w:rsidRPr="009D63A7" w:rsidRDefault="004B3214" w:rsidP="004B3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14" w:rsidRPr="00897357" w:rsidRDefault="00897357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897357">
              <w:t>Выполнение работ по устройству раскатных свай на объекте: «Комплекс из 2-х многоквартирных домов поз. 16.1 и 16.2, расположенный в 32, 33 микрорайонах в г. Липецке на земельном участке с кадастровым номером 48:20:0043601:293. 1 этап строительства – корпус 1</w:t>
            </w:r>
            <w:r w:rsidRPr="00897357">
              <w:rPr>
                <w:bCs/>
              </w:rPr>
              <w:t xml:space="preserve"> (поз. 16.1)»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14" w:rsidRPr="009D63A7" w:rsidRDefault="004B3214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214" w:rsidRPr="009D63A7" w:rsidRDefault="004B3214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3214" w:rsidRPr="009D63A7" w:rsidRDefault="004B3214" w:rsidP="004B3214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A307D9" w:rsidRPr="00F9314A" w:rsidTr="00A307D9">
        <w:trPr>
          <w:trHeight w:val="424"/>
        </w:trPr>
        <w:tc>
          <w:tcPr>
            <w:tcW w:w="7225" w:type="dxa"/>
          </w:tcPr>
          <w:p w:rsidR="00A307D9" w:rsidRPr="00F9314A" w:rsidRDefault="00A307D9" w:rsidP="00A307D9">
            <w:pPr>
              <w:jc w:val="center"/>
            </w:pPr>
            <w:r w:rsidRPr="00F9314A">
              <w:t>Итого:</w:t>
            </w:r>
          </w:p>
        </w:tc>
        <w:tc>
          <w:tcPr>
            <w:tcW w:w="7796" w:type="dxa"/>
          </w:tcPr>
          <w:p w:rsidR="00A307D9" w:rsidRPr="00F9314A" w:rsidRDefault="00A307D9" w:rsidP="00A307D9"/>
        </w:tc>
      </w:tr>
      <w:tr w:rsidR="00A307D9" w:rsidRPr="00F9314A" w:rsidTr="00A307D9">
        <w:trPr>
          <w:trHeight w:val="706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307D9" w:rsidRPr="00F9314A" w:rsidRDefault="00A307D9" w:rsidP="00B857B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 w:rsidR="00CA37A5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="00663503"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 с даты подписания договора</w:t>
            </w:r>
            <w:r w:rsidR="00897357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 по 31.08.2025 г</w:t>
            </w:r>
            <w:bookmarkStart w:id="0" w:name="_GoBack"/>
            <w:bookmarkEnd w:id="0"/>
            <w:r w:rsidR="00D541C0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A307D9" w:rsidRPr="00F9314A" w:rsidRDefault="00A307D9" w:rsidP="00A307D9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307D9" w:rsidRPr="00F9314A" w:rsidTr="00A307D9">
        <w:trPr>
          <w:trHeight w:val="718"/>
        </w:trPr>
        <w:tc>
          <w:tcPr>
            <w:tcW w:w="7225" w:type="dxa"/>
          </w:tcPr>
          <w:p w:rsidR="00A307D9" w:rsidRDefault="00A307D9" w:rsidP="00A307D9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A307D9" w:rsidRDefault="00A307D9" w:rsidP="00897357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 w:rsidR="00897357"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не менее 66</w:t>
            </w:r>
            <w:r w:rsidR="00897357">
              <w:rPr>
                <w:rFonts w:eastAsiaTheme="minorHAnsi"/>
                <w:i/>
                <w:color w:val="5B9BD5" w:themeColor="accent1"/>
              </w:rPr>
              <w:t xml:space="preserve"> месяцев с даты подписания сторонами акта о приемке выполненных работ</w:t>
            </w:r>
            <w:r w:rsidR="00897357">
              <w:rPr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796" w:type="dxa"/>
          </w:tcPr>
          <w:p w:rsidR="00A307D9" w:rsidRPr="00F9314A" w:rsidRDefault="00A307D9" w:rsidP="00A307D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D541C0" w:rsidRPr="00F9314A" w:rsidTr="00D541C0">
        <w:trPr>
          <w:trHeight w:val="70"/>
        </w:trPr>
        <w:tc>
          <w:tcPr>
            <w:tcW w:w="7704" w:type="dxa"/>
          </w:tcPr>
          <w:p w:rsidR="00D541C0" w:rsidRPr="00F9314A" w:rsidRDefault="00D541C0" w:rsidP="00647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СРО</w:t>
            </w:r>
            <w:r w:rsidR="002E5856">
              <w:rPr>
                <w:rFonts w:eastAsiaTheme="minorHAnsi"/>
                <w:lang w:eastAsia="en-US"/>
              </w:rPr>
              <w:t xml:space="preserve"> </w:t>
            </w:r>
            <w:r w:rsidR="00647349" w:rsidRPr="00647349">
              <w:t>в области строительства</w:t>
            </w:r>
          </w:p>
        </w:tc>
        <w:tc>
          <w:tcPr>
            <w:tcW w:w="7304" w:type="dxa"/>
          </w:tcPr>
          <w:p w:rsidR="00D541C0" w:rsidRPr="00F9314A" w:rsidRDefault="00D541C0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RPr="00F9314A" w:rsidTr="003632BF">
        <w:trPr>
          <w:trHeight w:val="72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04" w:type="dxa"/>
          </w:tcPr>
          <w:p w:rsidR="00672D28" w:rsidRPr="00F9314A" w:rsidRDefault="0027660A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lastRenderedPageBreak/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8BF" w:rsidRDefault="003448BF">
      <w:r>
        <w:separator/>
      </w:r>
    </w:p>
  </w:endnote>
  <w:endnote w:type="continuationSeparator" w:id="0">
    <w:p w:rsidR="003448BF" w:rsidRDefault="0034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3A7" w:rsidRDefault="009D63A7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3A7" w:rsidRDefault="009D63A7" w:rsidP="003B5BDF">
    <w:pPr>
      <w:pStyle w:val="a4"/>
      <w:ind w:right="360"/>
    </w:pPr>
  </w:p>
  <w:p w:rsidR="009D63A7" w:rsidRDefault="009D63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8BF" w:rsidRDefault="003448BF">
      <w:r>
        <w:separator/>
      </w:r>
    </w:p>
  </w:footnote>
  <w:footnote w:type="continuationSeparator" w:id="0">
    <w:p w:rsidR="003448BF" w:rsidRDefault="0034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A165A"/>
    <w:rsid w:val="004A1E5A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C192FC83-88DD-4AB7-8BF2-CD1F2912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87</cp:revision>
  <cp:lastPrinted>2020-10-12T13:22:00Z</cp:lastPrinted>
  <dcterms:created xsi:type="dcterms:W3CDTF">2024-08-02T12:59:00Z</dcterms:created>
  <dcterms:modified xsi:type="dcterms:W3CDTF">2025-05-20T12:22:00Z</dcterms:modified>
</cp:coreProperties>
</file>